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AB" w:rsidRDefault="006F3CAB" w:rsidP="006F3CAB">
      <w:r w:rsidRPr="006F3CAB">
        <w:t>ПРОГРАММА ВЕБИНАРА</w:t>
      </w:r>
      <w:r w:rsidRPr="006F3CAB">
        <w:rPr>
          <w:b/>
        </w:rPr>
        <w:t xml:space="preserve"> </w:t>
      </w:r>
      <w:r>
        <w:t>«ЭКОЛОГИЧЕСКИЙ КОНТРОЛЬ И ЭКОЛОГИЧЕСКАЯ ОТЧЕТНОСТЬ ПРЕДПРИЯТИЯ В 2014 г. НОВЫЕ ПРАВОВЫЕ ОТ</w:t>
      </w:r>
      <w:bookmarkStart w:id="0" w:name="_GoBack"/>
      <w:bookmarkEnd w:id="0"/>
      <w:r>
        <w:t>НОШЕНИЯ В ОБЛАСТИ ПОЛЬЗОВАНИЯ ВОДНЫМИ ОБЪЕКТАМИ»</w:t>
      </w:r>
    </w:p>
    <w:p w:rsidR="006F3CAB" w:rsidRDefault="006F3CAB" w:rsidP="006F3CAB">
      <w:pPr>
        <w:rPr>
          <w:b/>
          <w:u w:val="single"/>
        </w:rPr>
      </w:pPr>
    </w:p>
    <w:p w:rsidR="006F3CAB" w:rsidRDefault="006F3CAB" w:rsidP="006F3CAB">
      <w:pPr>
        <w:rPr>
          <w:b/>
          <w:u w:val="single"/>
        </w:rPr>
      </w:pPr>
    </w:p>
    <w:p w:rsidR="006F3CAB" w:rsidRPr="00D42836" w:rsidRDefault="006F3CAB" w:rsidP="006F3CAB">
      <w:pPr>
        <w:rPr>
          <w:b/>
          <w:u w:val="single"/>
        </w:rPr>
      </w:pPr>
      <w:r w:rsidRPr="00D42836">
        <w:rPr>
          <w:b/>
        </w:rPr>
        <w:t xml:space="preserve">1. </w:t>
      </w:r>
      <w:r w:rsidRPr="00D42836">
        <w:rPr>
          <w:rFonts w:eastAsia="Calibri"/>
          <w:b/>
          <w:lang w:eastAsia="en-US"/>
        </w:rPr>
        <w:t>Анализ изменений природоохранного законодательства с учетом поэтапного вступления в силу положений Федерального закона от 21 июля 2014 г. № 219-ФЗ: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>Категории объектов, оказывающих негативное воздействие на окружающую среду: порядок присвоения, изменения категории объекта;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 xml:space="preserve">Изменение порядка государственного учета объектов, оказывающих негативное воздействие на окружающую среду: постановка объекта на государственный учет, актуализация сведений, представленных в рамках государственного учета, документальное подтверждение постановки на государственный учет, снятия </w:t>
      </w:r>
      <w:r>
        <w:rPr>
          <w:rFonts w:eastAsia="Calibri"/>
          <w:lang w:eastAsia="en-US"/>
        </w:rPr>
        <w:br/>
      </w:r>
      <w:r w:rsidRPr="00D42836">
        <w:rPr>
          <w:rFonts w:eastAsia="Calibri"/>
          <w:lang w:eastAsia="en-US"/>
        </w:rPr>
        <w:t>с государственного учета;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>Новые требования к порядку производственного экологического контроля;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 xml:space="preserve">Порядок исчисления и взимания платы за негативное воздействие на окружающую среду с учетом </w:t>
      </w:r>
      <w:proofErr w:type="spellStart"/>
      <w:r w:rsidRPr="00D42836">
        <w:rPr>
          <w:rFonts w:eastAsia="Calibri"/>
          <w:lang w:eastAsia="en-US"/>
        </w:rPr>
        <w:t>категорийности</w:t>
      </w:r>
      <w:proofErr w:type="spellEnd"/>
      <w:r w:rsidRPr="00D42836">
        <w:rPr>
          <w:rFonts w:eastAsia="Calibri"/>
          <w:lang w:eastAsia="en-US"/>
        </w:rPr>
        <w:t xml:space="preserve"> объектов, оказывающих негативное воздействие на окружающую среду, основания для освобождения от внесения платы, применения повышающих коэффициентов при формировании декларации о плате за НВОС;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>Нормирование негативного воздействия на окружающую среду с учетом категории объекта: разработка технологических нормативов, нормативов допустимых выбросов, сбросов загрязняющих веществ; временно разрешенных выбросов, сбросов; случаи освобождения от обязанности нормирования негативного воздействия на окружающую среду;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proofErr w:type="gramStart"/>
      <w:r w:rsidRPr="00D42836">
        <w:rPr>
          <w:rFonts w:eastAsia="Calibri"/>
          <w:lang w:eastAsia="en-US"/>
        </w:rPr>
        <w:t>Оформление природоохранной разрешительной документации: комплексное экологическое разрешение, декларация о воздействии на окружающей среду;</w:t>
      </w:r>
      <w:proofErr w:type="gramEnd"/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>Отчетность как форма нормирования негативного воздействия на окружающую среду для отдельных категорий объектов;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 xml:space="preserve">Порядок разработки и </w:t>
      </w:r>
      <w:proofErr w:type="gramStart"/>
      <w:r w:rsidRPr="00D42836">
        <w:rPr>
          <w:rFonts w:eastAsia="Calibri"/>
          <w:lang w:eastAsia="en-US"/>
        </w:rPr>
        <w:t>установления</w:t>
      </w:r>
      <w:proofErr w:type="gramEnd"/>
      <w:r w:rsidRPr="00D42836">
        <w:rPr>
          <w:rFonts w:eastAsia="Calibri"/>
          <w:lang w:eastAsia="en-US"/>
        </w:rPr>
        <w:t xml:space="preserve"> временно разрешенных выбросов, сбросов загрязняющих веществ; план мероприятий по охране окружающей среды и программа повышения экологической эффективности как условия установления временного разрешенных выбросов, сбросов;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>Особенности нормирования в области обращения с отходами в отношении различных категорий объектов, оказывающих негативное воздействие на окружающую среду, отчетность об образовании, использовании, обезвреживании, о размещении отходов;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>Изменение Главы 8 Кодекса Российской Федерации об административных правонарушениях: новые составы административных правонарушений с учетом введенных правовых институтов в области охраны окружающей среды;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  <w:bCs/>
          <w:bdr w:val="none" w:sz="0" w:space="0" w:color="auto" w:frame="1"/>
        </w:rPr>
      </w:pPr>
      <w:r w:rsidRPr="00D42836">
        <w:rPr>
          <w:rFonts w:eastAsia="Calibri"/>
          <w:lang w:eastAsia="en-US"/>
        </w:rPr>
        <w:t>Государственная поддержка деятельности в области охраны окружающей среды: меры государственной поддержки, основания для их применения.</w:t>
      </w:r>
    </w:p>
    <w:p w:rsidR="006F3CAB" w:rsidRDefault="006F3CAB" w:rsidP="006F3CAB">
      <w:pPr>
        <w:shd w:val="clear" w:color="auto" w:fill="FFFFFF"/>
        <w:jc w:val="both"/>
        <w:textAlignment w:val="baseline"/>
        <w:rPr>
          <w:b/>
        </w:rPr>
      </w:pPr>
      <w:r>
        <w:rPr>
          <w:b/>
          <w:bCs/>
          <w:bdr w:val="none" w:sz="0" w:space="0" w:color="auto" w:frame="1"/>
        </w:rPr>
        <w:t xml:space="preserve">2. </w:t>
      </w:r>
      <w:r w:rsidRPr="00D42836">
        <w:rPr>
          <w:b/>
          <w:bCs/>
          <w:bdr w:val="none" w:sz="0" w:space="0" w:color="auto" w:frame="1"/>
        </w:rPr>
        <w:t xml:space="preserve">Государственный экологический надзор. Практика </w:t>
      </w:r>
      <w:proofErr w:type="spellStart"/>
      <w:r w:rsidRPr="00D42836">
        <w:rPr>
          <w:b/>
          <w:bCs/>
          <w:bdr w:val="none" w:sz="0" w:space="0" w:color="auto" w:frame="1"/>
        </w:rPr>
        <w:t>правоприменения</w:t>
      </w:r>
      <w:proofErr w:type="spellEnd"/>
      <w:r w:rsidRPr="00D42836">
        <w:rPr>
          <w:b/>
          <w:bCs/>
          <w:bdr w:val="none" w:sz="0" w:space="0" w:color="auto" w:frame="1"/>
        </w:rPr>
        <w:t>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  <w:rPr>
          <w:b/>
        </w:rPr>
      </w:pPr>
      <w:r w:rsidRPr="00D42836">
        <w:t xml:space="preserve">Порядок проведения плановых, внеплановых, выездных и документарных проверок </w:t>
      </w:r>
      <w:proofErr w:type="spellStart"/>
      <w:r w:rsidRPr="00D42836">
        <w:t>Росприроднадзором</w:t>
      </w:r>
      <w:proofErr w:type="spellEnd"/>
      <w:r w:rsidRPr="00D42836">
        <w:t>, основания для проведения проверок.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</w:pPr>
      <w:r w:rsidRPr="00D42836">
        <w:t xml:space="preserve">Права и обязанности государственных инспекторов </w:t>
      </w:r>
      <w:proofErr w:type="spellStart"/>
      <w:r w:rsidRPr="00D42836">
        <w:t>Росприроднадзора</w:t>
      </w:r>
      <w:proofErr w:type="spellEnd"/>
      <w:r w:rsidRPr="00D42836">
        <w:t>.</w:t>
      </w:r>
    </w:p>
    <w:p w:rsidR="006F3CAB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5" w:hanging="425"/>
        <w:jc w:val="both"/>
        <w:textAlignment w:val="baseline"/>
      </w:pPr>
      <w:r w:rsidRPr="00D42836">
        <w:t>Меры административного воздействия, принимаемые по результатам проверок.</w:t>
      </w:r>
    </w:p>
    <w:p w:rsidR="006F3CAB" w:rsidRPr="00D42836" w:rsidRDefault="006F3CAB" w:rsidP="006F3CAB">
      <w:pPr>
        <w:shd w:val="clear" w:color="auto" w:fill="FFFFFF"/>
        <w:jc w:val="both"/>
        <w:textAlignment w:val="baseline"/>
      </w:pPr>
      <w:r w:rsidRPr="00D42836">
        <w:rPr>
          <w:b/>
        </w:rPr>
        <w:t xml:space="preserve">3.  </w:t>
      </w:r>
      <w:r w:rsidRPr="00D42836">
        <w:rPr>
          <w:b/>
          <w:bCs/>
          <w:bdr w:val="none" w:sz="0" w:space="0" w:color="auto" w:frame="1"/>
        </w:rPr>
        <w:t>Производственный экологический контроль.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425" w:hanging="425"/>
        <w:jc w:val="both"/>
        <w:textAlignment w:val="baseline"/>
      </w:pPr>
      <w:r w:rsidRPr="00D42836">
        <w:lastRenderedPageBreak/>
        <w:t>Изменения в законодательстве в части осуществления производственного экологического контроля (ПЭК).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425" w:hanging="425"/>
        <w:jc w:val="both"/>
        <w:textAlignment w:val="baseline"/>
      </w:pPr>
      <w:r w:rsidRPr="00D42836">
        <w:t>Документация предприятия, относящаяся к сфере ПЭК.</w:t>
      </w:r>
    </w:p>
    <w:p w:rsidR="006F3CAB" w:rsidRPr="00D42836" w:rsidRDefault="006F3CAB" w:rsidP="006F3CAB">
      <w:pPr>
        <w:shd w:val="clear" w:color="auto" w:fill="FFFFFF"/>
        <w:spacing w:after="120"/>
        <w:jc w:val="both"/>
        <w:textAlignment w:val="baseline"/>
      </w:pPr>
      <w:r>
        <w:rPr>
          <w:b/>
          <w:bCs/>
          <w:bdr w:val="none" w:sz="0" w:space="0" w:color="auto" w:frame="1"/>
        </w:rPr>
        <w:t xml:space="preserve">4.  </w:t>
      </w:r>
      <w:r w:rsidRPr="00D42836">
        <w:rPr>
          <w:b/>
          <w:bCs/>
          <w:bdr w:val="none" w:sz="0" w:space="0" w:color="auto" w:frame="1"/>
        </w:rPr>
        <w:t>Лабораторный контроль.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textAlignment w:val="baseline"/>
      </w:pPr>
      <w:r w:rsidRPr="00D42836">
        <w:t>Требования к аналитическим лабораториям, осуществляющим ПЭК, системы аккредитации.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textAlignment w:val="baseline"/>
      </w:pPr>
      <w:r w:rsidRPr="00D42836">
        <w:t>Документы аккредитованной лаборатории.</w:t>
      </w:r>
    </w:p>
    <w:p w:rsidR="006F3CAB" w:rsidRPr="00D42836" w:rsidRDefault="006F3CAB" w:rsidP="006F3CAB">
      <w:pPr>
        <w:shd w:val="clear" w:color="auto" w:fill="FFFFFF"/>
        <w:jc w:val="both"/>
        <w:textAlignment w:val="baseline"/>
      </w:pPr>
      <w:r>
        <w:rPr>
          <w:b/>
          <w:bCs/>
          <w:bdr w:val="none" w:sz="0" w:space="0" w:color="auto" w:frame="1"/>
        </w:rPr>
        <w:t xml:space="preserve">5.  </w:t>
      </w:r>
      <w:r w:rsidRPr="00D42836">
        <w:rPr>
          <w:b/>
          <w:bCs/>
          <w:bdr w:val="none" w:sz="0" w:space="0" w:color="auto" w:frame="1"/>
        </w:rPr>
        <w:t>Обеспечение экологической безопасности при работах в области обращения с отходами.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textAlignment w:val="baseline"/>
      </w:pPr>
      <w:r w:rsidRPr="00D42836">
        <w:t>Лицензирование деятельности в области обращения с отходами.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textAlignment w:val="baseline"/>
      </w:pPr>
      <w:r w:rsidRPr="00D42836">
        <w:t>Порядок учета в области обращения с отходами.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textAlignment w:val="baseline"/>
      </w:pPr>
      <w:r w:rsidRPr="00D42836">
        <w:t>Обучение персонала предприятия на право обращения с опасными отходами.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textAlignment w:val="baseline"/>
      </w:pPr>
      <w:r w:rsidRPr="00D42836">
        <w:rPr>
          <w:rFonts w:eastAsia="Calibri"/>
          <w:lang w:eastAsia="en-US"/>
        </w:rPr>
        <w:t>Порядок подтверждения отнесения отходов I-IV классов опасности к конкретному классу опасности;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textAlignment w:val="baseline"/>
      </w:pPr>
      <w:r w:rsidRPr="00D42836">
        <w:rPr>
          <w:rFonts w:eastAsia="Calibri"/>
          <w:lang w:eastAsia="en-US"/>
        </w:rPr>
        <w:t>Разработка и составление паспорта отхода I-IV класса опасности, практические советы;</w:t>
      </w:r>
    </w:p>
    <w:p w:rsidR="006F3CAB" w:rsidRPr="00D42836" w:rsidRDefault="006F3CAB" w:rsidP="006F3C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textAlignment w:val="baseline"/>
      </w:pPr>
      <w:r w:rsidRPr="00D42836">
        <w:rPr>
          <w:rFonts w:eastAsia="Calibri"/>
          <w:lang w:eastAsia="en-US"/>
        </w:rPr>
        <w:t xml:space="preserve">Наличие (отсутствие) отходов в ФККО: порядок действий </w:t>
      </w:r>
      <w:proofErr w:type="spellStart"/>
      <w:r w:rsidRPr="00D42836">
        <w:rPr>
          <w:rFonts w:eastAsia="Calibri"/>
          <w:lang w:eastAsia="en-US"/>
        </w:rPr>
        <w:t>природопользователя</w:t>
      </w:r>
      <w:proofErr w:type="spellEnd"/>
      <w:r w:rsidRPr="00D42836">
        <w:rPr>
          <w:rFonts w:eastAsia="Calibri"/>
          <w:lang w:eastAsia="en-US"/>
        </w:rPr>
        <w:t>;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 w:hanging="426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>Включение объекта размещения отходов в ГРОРО:</w:t>
      </w:r>
    </w:p>
    <w:p w:rsidR="006F3CAB" w:rsidRPr="00D42836" w:rsidRDefault="006F3CAB" w:rsidP="006F3CAB">
      <w:pPr>
        <w:numPr>
          <w:ilvl w:val="0"/>
          <w:numId w:val="2"/>
        </w:numPr>
        <w:spacing w:after="120"/>
        <w:ind w:left="567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>обязанности хозяйствующего субъекта;</w:t>
      </w:r>
    </w:p>
    <w:p w:rsidR="006F3CAB" w:rsidRPr="00D42836" w:rsidRDefault="006F3CAB" w:rsidP="006F3CAB">
      <w:pPr>
        <w:numPr>
          <w:ilvl w:val="0"/>
          <w:numId w:val="2"/>
        </w:numPr>
        <w:spacing w:after="120"/>
        <w:ind w:left="567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>результаты инвентаризации объектов размещения отходов как источник информации для включения объектов в ГРОРО;</w:t>
      </w:r>
    </w:p>
    <w:p w:rsidR="006F3CAB" w:rsidRPr="00D42836" w:rsidRDefault="006F3CAB" w:rsidP="006F3CAB">
      <w:pPr>
        <w:numPr>
          <w:ilvl w:val="0"/>
          <w:numId w:val="2"/>
        </w:numPr>
        <w:spacing w:after="120"/>
        <w:ind w:left="567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>обжалование бездействия государственного органа по включению объектов в ГРОРО;</w:t>
      </w:r>
    </w:p>
    <w:p w:rsidR="006F3CAB" w:rsidRPr="00D42836" w:rsidRDefault="006F3CAB" w:rsidP="006F3CAB">
      <w:pPr>
        <w:numPr>
          <w:ilvl w:val="0"/>
          <w:numId w:val="2"/>
        </w:numPr>
        <w:spacing w:after="120"/>
        <w:ind w:left="567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>последствия размещения отходов в объектах, не включенных в ГРОРО.</w:t>
      </w:r>
    </w:p>
    <w:p w:rsidR="006F3CAB" w:rsidRPr="00D42836" w:rsidRDefault="006F3CAB" w:rsidP="006F3CAB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6. </w:t>
      </w:r>
      <w:r w:rsidRPr="00D42836">
        <w:rPr>
          <w:rFonts w:eastAsia="Calibri"/>
          <w:b/>
          <w:lang w:eastAsia="en-US"/>
        </w:rPr>
        <w:t xml:space="preserve">Водоотведение: анализ подзаконных нормативных правовых актов; противоречия нормативного правового регулирования; рекомендации к практическому применению НПА: 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5" w:hanging="425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 xml:space="preserve">Основные правила и требования к осуществлению водоотведения: порядок заключение договора на водоотведение, нормативные требования к качеству сточных вод, основания для прекращения, приостановления водоотведения; 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5" w:hanging="425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 xml:space="preserve">Нормирование негативного воздействия при отведении сточных вод через централизованные системы водоотведения; 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5" w:hanging="425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 xml:space="preserve">Определение субъектов платы за негативное воздействие на водный объект в части сброса сточных вод через системы водоотведения; 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5" w:hanging="425"/>
        <w:jc w:val="both"/>
        <w:rPr>
          <w:rFonts w:eastAsia="Calibri"/>
          <w:lang w:eastAsia="en-US"/>
        </w:rPr>
      </w:pPr>
      <w:proofErr w:type="gramStart"/>
      <w:r w:rsidRPr="00D42836">
        <w:rPr>
          <w:rFonts w:eastAsia="Calibri"/>
          <w:lang w:eastAsia="en-US"/>
        </w:rPr>
        <w:t>Контроль за</w:t>
      </w:r>
      <w:proofErr w:type="gramEnd"/>
      <w:r w:rsidRPr="00D42836">
        <w:rPr>
          <w:rFonts w:eastAsia="Calibri"/>
          <w:lang w:eastAsia="en-US"/>
        </w:rPr>
        <w:t xml:space="preserve"> составом и свойствами сточных вод, сбрасываемых в систему водоотведения; </w:t>
      </w:r>
    </w:p>
    <w:p w:rsidR="006F3CAB" w:rsidRDefault="006F3CAB" w:rsidP="006F3CAB">
      <w:pPr>
        <w:numPr>
          <w:ilvl w:val="0"/>
          <w:numId w:val="1"/>
        </w:numPr>
        <w:spacing w:after="120"/>
        <w:ind w:left="425" w:hanging="425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 xml:space="preserve">Порядок компенсации ущерба, причиненного централизованным системам </w:t>
      </w:r>
      <w:r w:rsidRPr="00EC59A2">
        <w:rPr>
          <w:rFonts w:eastAsia="Calibri"/>
          <w:lang w:eastAsia="en-US"/>
        </w:rPr>
        <w:t xml:space="preserve">водоотведения в результате нарушения нормативных показателей качества сточных вод; </w:t>
      </w:r>
    </w:p>
    <w:p w:rsidR="006F3CAB" w:rsidRPr="00EC59A2" w:rsidRDefault="006F3CAB" w:rsidP="006F3CAB">
      <w:pPr>
        <w:numPr>
          <w:ilvl w:val="0"/>
          <w:numId w:val="1"/>
        </w:numPr>
        <w:spacing w:after="120"/>
        <w:ind w:left="425" w:hanging="425"/>
        <w:jc w:val="both"/>
        <w:rPr>
          <w:rFonts w:eastAsia="Calibri"/>
          <w:lang w:eastAsia="en-US"/>
        </w:rPr>
      </w:pPr>
      <w:r w:rsidRPr="00EC59A2">
        <w:rPr>
          <w:rFonts w:eastAsia="Calibri"/>
          <w:lang w:eastAsia="en-US"/>
        </w:rPr>
        <w:t xml:space="preserve">Материальная и административная ответственность за нарушение требований </w:t>
      </w:r>
      <w:r>
        <w:rPr>
          <w:rFonts w:eastAsia="Calibri"/>
          <w:lang w:eastAsia="en-US"/>
        </w:rPr>
        <w:br/>
      </w:r>
      <w:r w:rsidRPr="00EC59A2">
        <w:rPr>
          <w:rFonts w:eastAsia="Calibri"/>
          <w:lang w:eastAsia="en-US"/>
        </w:rPr>
        <w:t>к отведению сточных вод.</w:t>
      </w:r>
    </w:p>
    <w:p w:rsidR="006F3CAB" w:rsidRPr="00D42836" w:rsidRDefault="006F3CAB" w:rsidP="006F3CAB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 xml:space="preserve">7.  </w:t>
      </w:r>
      <w:r w:rsidRPr="00D42836">
        <w:rPr>
          <w:b/>
        </w:rPr>
        <w:t>Использование и охрана водных объектов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 w:hanging="426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lastRenderedPageBreak/>
        <w:t xml:space="preserve">Нормирование сбросов загрязняющих веществ в водные объекты; 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 w:hanging="426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 xml:space="preserve">Порядок разработки и согласования нормативов допустимых сбросов веществ в водные объекты; 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 w:hanging="426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 xml:space="preserve">Особенности режима осуществления деятельности в </w:t>
      </w:r>
      <w:proofErr w:type="spellStart"/>
      <w:r w:rsidRPr="00D42836">
        <w:rPr>
          <w:rFonts w:eastAsia="Calibri"/>
          <w:lang w:eastAsia="en-US"/>
        </w:rPr>
        <w:t>водоохранных</w:t>
      </w:r>
      <w:proofErr w:type="spellEnd"/>
      <w:r w:rsidRPr="00D42836">
        <w:rPr>
          <w:rFonts w:eastAsia="Calibri"/>
          <w:lang w:eastAsia="en-US"/>
        </w:rPr>
        <w:t xml:space="preserve"> зонах и прибрежных полосах; 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 w:hanging="426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>Нормативно допустимый сброс и решение о предоставлении водного объекта в пользование.</w:t>
      </w:r>
    </w:p>
    <w:p w:rsidR="006F3CAB" w:rsidRPr="00D42836" w:rsidRDefault="006F3CAB" w:rsidP="006F3CAB">
      <w:pPr>
        <w:spacing w:after="200" w:line="276" w:lineRule="auto"/>
        <w:contextualSpacing/>
        <w:jc w:val="both"/>
      </w:pPr>
      <w:r>
        <w:rPr>
          <w:b/>
          <w:bCs/>
          <w:bdr w:val="none" w:sz="0" w:space="0" w:color="auto" w:frame="1"/>
        </w:rPr>
        <w:t xml:space="preserve">8. </w:t>
      </w:r>
      <w:r w:rsidRPr="00D42836">
        <w:rPr>
          <w:b/>
          <w:bCs/>
          <w:bdr w:val="none" w:sz="0" w:space="0" w:color="auto" w:frame="1"/>
        </w:rPr>
        <w:t>Порядок осуществления государственного контроля и надзора в области использования водных объектов.</w:t>
      </w:r>
    </w:p>
    <w:p w:rsidR="006F3CAB" w:rsidRPr="00D42836" w:rsidRDefault="006F3CAB" w:rsidP="006F3CAB">
      <w:pPr>
        <w:tabs>
          <w:tab w:val="num" w:pos="0"/>
        </w:tabs>
        <w:ind w:hanging="284"/>
        <w:jc w:val="both"/>
      </w:pPr>
    </w:p>
    <w:p w:rsidR="006F3CAB" w:rsidRDefault="006F3CAB" w:rsidP="006F3CAB">
      <w:pPr>
        <w:spacing w:after="200" w:line="276" w:lineRule="auto"/>
        <w:contextualSpacing/>
        <w:jc w:val="both"/>
      </w:pPr>
      <w:r>
        <w:rPr>
          <w:b/>
          <w:bCs/>
          <w:bdr w:val="none" w:sz="0" w:space="0" w:color="auto" w:frame="1"/>
        </w:rPr>
        <w:t xml:space="preserve">9. </w:t>
      </w:r>
      <w:r w:rsidRPr="00D42836">
        <w:rPr>
          <w:b/>
          <w:bCs/>
          <w:bdr w:val="none" w:sz="0" w:space="0" w:color="auto" w:frame="1"/>
        </w:rPr>
        <w:t>Мониторинг водных объектов и порядок его проведения. </w:t>
      </w:r>
      <w:r w:rsidRPr="00D42836">
        <w:t>Согласование программ мониторинга. Обязанности водопользователей.</w:t>
      </w:r>
    </w:p>
    <w:p w:rsidR="006F3CAB" w:rsidRPr="00D42836" w:rsidRDefault="006F3CAB" w:rsidP="006F3CAB">
      <w:pPr>
        <w:spacing w:after="200" w:line="276" w:lineRule="auto"/>
        <w:contextualSpacing/>
        <w:jc w:val="both"/>
      </w:pPr>
    </w:p>
    <w:p w:rsidR="006F3CAB" w:rsidRDefault="006F3CAB" w:rsidP="006F3CAB">
      <w:pPr>
        <w:spacing w:after="120"/>
        <w:jc w:val="both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10. </w:t>
      </w:r>
      <w:r w:rsidRPr="00D42836">
        <w:rPr>
          <w:b/>
          <w:bCs/>
          <w:bdr w:val="none" w:sz="0" w:space="0" w:color="auto" w:frame="1"/>
        </w:rPr>
        <w:t>Требования санитарного законодательства в области водоснабжения (поверхностные и подземные источники).</w:t>
      </w:r>
    </w:p>
    <w:p w:rsidR="006F3CAB" w:rsidRDefault="006F3CAB" w:rsidP="006F3CAB">
      <w:pPr>
        <w:numPr>
          <w:ilvl w:val="0"/>
          <w:numId w:val="1"/>
        </w:numPr>
        <w:spacing w:after="120"/>
        <w:ind w:left="426" w:hanging="426"/>
        <w:jc w:val="both"/>
      </w:pPr>
      <w:r w:rsidRPr="00D42836">
        <w:t>Определение зон ограничений (зон санитарной охраны источников водоснабжения).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 w:hanging="426"/>
        <w:jc w:val="both"/>
      </w:pPr>
      <w:r w:rsidRPr="00D42836">
        <w:t>Производственный контроль (ПК), разработка программ ПК, критерии выбора показателей.</w:t>
      </w:r>
    </w:p>
    <w:p w:rsidR="006F3CAB" w:rsidRPr="00D42836" w:rsidRDefault="006F3CAB" w:rsidP="006F3CAB">
      <w:pPr>
        <w:spacing w:after="120"/>
        <w:jc w:val="both"/>
      </w:pPr>
      <w:r>
        <w:rPr>
          <w:b/>
          <w:bCs/>
          <w:bdr w:val="none" w:sz="0" w:space="0" w:color="auto" w:frame="1"/>
        </w:rPr>
        <w:t xml:space="preserve">11. </w:t>
      </w:r>
      <w:r w:rsidRPr="00D42836">
        <w:rPr>
          <w:b/>
          <w:bCs/>
          <w:bdr w:val="none" w:sz="0" w:space="0" w:color="auto" w:frame="1"/>
        </w:rPr>
        <w:t>Основание возникновения права пользования участками недр для добычи подземных вод.</w:t>
      </w:r>
      <w:r w:rsidRPr="00D42836">
        <w:t> Порядок проведения геологического изучения участка недр: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/>
        <w:jc w:val="both"/>
        <w:textAlignment w:val="baseline"/>
      </w:pPr>
      <w:r w:rsidRPr="00D42836">
        <w:t>получение лицензии на право пользования участком недр с целью геологического изучения;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/>
        <w:jc w:val="both"/>
        <w:textAlignment w:val="baseline"/>
      </w:pPr>
      <w:r w:rsidRPr="00D42836">
        <w:t>регистрация работ по геологическому изучению;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/>
        <w:jc w:val="both"/>
        <w:textAlignment w:val="baseline"/>
      </w:pPr>
      <w:r w:rsidRPr="00D42836">
        <w:t>составление, согласование проекта геологического изучения;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/>
        <w:jc w:val="both"/>
        <w:textAlignment w:val="baseline"/>
      </w:pPr>
      <w:r w:rsidRPr="00D42836">
        <w:t>утверждение запасов подземных вод территориальной или государственной комиссией по запасам подземных вод;</w:t>
      </w:r>
    </w:p>
    <w:p w:rsidR="006F3CAB" w:rsidRDefault="006F3CAB" w:rsidP="006F3CAB">
      <w:pPr>
        <w:numPr>
          <w:ilvl w:val="0"/>
          <w:numId w:val="1"/>
        </w:numPr>
        <w:spacing w:after="120"/>
        <w:ind w:left="426"/>
        <w:jc w:val="both"/>
        <w:textAlignment w:val="baseline"/>
      </w:pPr>
      <w:r w:rsidRPr="00D42836">
        <w:t>составление и утверждение проекта зон санитарной охраны водозаборных сооружений.</w:t>
      </w:r>
    </w:p>
    <w:p w:rsidR="006F3CAB" w:rsidRPr="00D42836" w:rsidRDefault="006F3CAB" w:rsidP="006F3CAB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12. </w:t>
      </w:r>
      <w:proofErr w:type="gramStart"/>
      <w:r w:rsidRPr="00D42836">
        <w:rPr>
          <w:b/>
        </w:rPr>
        <w:t>Экономический механизм</w:t>
      </w:r>
      <w:proofErr w:type="gramEnd"/>
      <w:r w:rsidRPr="00D42836">
        <w:rPr>
          <w:b/>
        </w:rPr>
        <w:t xml:space="preserve"> ООС</w:t>
      </w:r>
      <w:r>
        <w:rPr>
          <w:b/>
        </w:rPr>
        <w:t>.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5" w:hanging="357"/>
        <w:jc w:val="both"/>
      </w:pPr>
      <w:r w:rsidRPr="00D42836">
        <w:t>Особенности определения субъектов платы за НВОС;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5" w:hanging="357"/>
        <w:jc w:val="both"/>
      </w:pPr>
      <w:r w:rsidRPr="00D42836">
        <w:t xml:space="preserve">Особенности исчисления и взимания платы за НВОС применительно к </w:t>
      </w:r>
      <w:proofErr w:type="gramStart"/>
      <w:r w:rsidRPr="00D42836">
        <w:t>различным</w:t>
      </w:r>
      <w:proofErr w:type="gramEnd"/>
      <w:r w:rsidRPr="00D42836">
        <w:t xml:space="preserve"> вида платы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5" w:hanging="357"/>
        <w:jc w:val="both"/>
      </w:pPr>
      <w:r w:rsidRPr="00D42836">
        <w:t xml:space="preserve">Плата за сброс на водосборные площади: практика </w:t>
      </w:r>
      <w:proofErr w:type="spellStart"/>
      <w:r w:rsidRPr="00D42836">
        <w:t>правоприменения</w:t>
      </w:r>
      <w:proofErr w:type="spellEnd"/>
      <w:r w:rsidRPr="00D42836">
        <w:t xml:space="preserve"> в условиях отсутствия правового регулирования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5" w:hanging="357"/>
        <w:jc w:val="both"/>
      </w:pPr>
      <w:r w:rsidRPr="00D42836">
        <w:t>Актуальные проблемы в области исчисления и внесения платы за НВОС с учетом арбитражной практики.</w:t>
      </w:r>
    </w:p>
    <w:p w:rsidR="006F3CAB" w:rsidRPr="00D42836" w:rsidRDefault="006F3CAB" w:rsidP="006F3CAB">
      <w:pPr>
        <w:spacing w:after="1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13. </w:t>
      </w:r>
      <w:r w:rsidRPr="00D42836">
        <w:rPr>
          <w:rFonts w:eastAsia="Calibri"/>
          <w:b/>
          <w:lang w:eastAsia="en-US"/>
        </w:rPr>
        <w:t>Организация санитарно-защитных зон промышленных объектов и производств:</w:t>
      </w:r>
    </w:p>
    <w:p w:rsidR="006F3CAB" w:rsidRPr="00D42836" w:rsidRDefault="006F3CAB" w:rsidP="006F3CAB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>Определение необходимости разработки проекта санитарно-защитных зон; разработка проекта ориентировочного размера санитарно-защитных зон: расчетная и установленная (окончательная) санитарно-защитная зона;</w:t>
      </w:r>
    </w:p>
    <w:p w:rsidR="006F3CAB" w:rsidRDefault="006F3CAB" w:rsidP="006F3CAB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lang w:eastAsia="en-US"/>
        </w:rPr>
      </w:pPr>
      <w:r w:rsidRPr="00D42836">
        <w:rPr>
          <w:rFonts w:eastAsia="Calibri"/>
          <w:lang w:eastAsia="en-US"/>
        </w:rPr>
        <w:t>Порядок установления размера санитарно-защитной зоны; особенности изменения границ установленной санитарно-защитной зоны;</w:t>
      </w:r>
    </w:p>
    <w:p w:rsidR="006F3CAB" w:rsidRDefault="006F3CAB" w:rsidP="006F3CAB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lang w:eastAsia="en-US"/>
        </w:rPr>
      </w:pPr>
      <w:r w:rsidRPr="00EC59A2">
        <w:rPr>
          <w:rFonts w:eastAsia="Calibri"/>
          <w:lang w:eastAsia="en-US"/>
        </w:rPr>
        <w:t>Правовой режим земель в границах санитарно-защитной зоны.</w:t>
      </w:r>
    </w:p>
    <w:p w:rsidR="002B2E24" w:rsidRDefault="006F3CAB" w:rsidP="006F3CAB">
      <w:pPr>
        <w:spacing w:after="120"/>
        <w:jc w:val="both"/>
      </w:pPr>
      <w:r>
        <w:rPr>
          <w:rFonts w:eastAsia="Calibri"/>
          <w:b/>
          <w:lang w:eastAsia="en-US"/>
        </w:rPr>
        <w:lastRenderedPageBreak/>
        <w:t xml:space="preserve">14. </w:t>
      </w:r>
      <w:r w:rsidRPr="00D42836">
        <w:rPr>
          <w:rFonts w:eastAsia="Calibri"/>
          <w:b/>
          <w:lang w:eastAsia="en-US"/>
        </w:rPr>
        <w:t>Привлеч</w:t>
      </w:r>
      <w:r>
        <w:rPr>
          <w:rFonts w:eastAsia="Calibri"/>
          <w:b/>
          <w:lang w:eastAsia="en-US"/>
        </w:rPr>
        <w:t>е</w:t>
      </w:r>
      <w:r w:rsidRPr="00D42836">
        <w:rPr>
          <w:rFonts w:eastAsia="Calibri"/>
          <w:b/>
          <w:lang w:eastAsia="en-US"/>
        </w:rPr>
        <w:t>ние к ответственности за нарушение природоохранного законодательства: виды ответственности; порядок привлечения к ответственности, порядок оспаривания привлечения к ответственности.</w:t>
      </w:r>
      <w:r>
        <w:t xml:space="preserve"> </w:t>
      </w:r>
    </w:p>
    <w:sectPr w:rsidR="002B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9FE"/>
    <w:multiLevelType w:val="hybridMultilevel"/>
    <w:tmpl w:val="AADEB12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36E7D"/>
    <w:multiLevelType w:val="hybridMultilevel"/>
    <w:tmpl w:val="0B5ABDFE"/>
    <w:lvl w:ilvl="0" w:tplc="4FCA499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B"/>
    <w:rsid w:val="002B2E24"/>
    <w:rsid w:val="006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6322</Characters>
  <Application>Microsoft Office Word</Application>
  <DocSecurity>0</DocSecurity>
  <Lines>52</Lines>
  <Paragraphs>14</Paragraphs>
  <ScaleCrop>false</ScaleCrop>
  <Company>We Are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2014-10-31T13:10:00Z</dcterms:created>
  <dcterms:modified xsi:type="dcterms:W3CDTF">2014-10-31T13:11:00Z</dcterms:modified>
</cp:coreProperties>
</file>